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994"/>
      </w:tblGrid>
      <w:tr w:rsidR="005F3C4D" w:rsidTr="00DA53B4">
        <w:tc>
          <w:tcPr>
            <w:tcW w:w="5415" w:type="dxa"/>
          </w:tcPr>
          <w:p w:rsidR="005F3C4D" w:rsidRDefault="005F3C4D" w:rsidP="00DA53B4">
            <w:r>
              <w:t> </w:t>
            </w:r>
          </w:p>
          <w:p w:rsidR="005F3C4D" w:rsidRDefault="005F3C4D" w:rsidP="00DA53B4">
            <w:r>
              <w:t> </w:t>
            </w:r>
          </w:p>
          <w:p w:rsidR="005F3C4D" w:rsidRDefault="005F3C4D" w:rsidP="00DA53B4">
            <w:r>
              <w:rPr>
                <w:b/>
                <w:bCs/>
                <w:sz w:val="18"/>
                <w:szCs w:val="18"/>
              </w:rPr>
              <w:t>‎Complaints and FOI Team‏</w:t>
            </w:r>
            <w:r>
              <w:br/>
            </w:r>
            <w:r>
              <w:rPr>
                <w:sz w:val="18"/>
                <w:szCs w:val="18"/>
              </w:rPr>
              <w:t xml:space="preserve">‎London Borough of Bexley </w:t>
            </w:r>
            <w:r>
              <w:rPr>
                <w:szCs w:val="18"/>
              </w:rPr>
              <w:br/>
            </w:r>
            <w:r>
              <w:rPr>
                <w:sz w:val="18"/>
                <w:szCs w:val="18"/>
              </w:rPr>
              <w:t xml:space="preserve">Civic Offices </w:t>
            </w:r>
            <w:r>
              <w:rPr>
                <w:szCs w:val="18"/>
              </w:rPr>
              <w:br/>
            </w:r>
            <w:r>
              <w:rPr>
                <w:sz w:val="18"/>
                <w:szCs w:val="18"/>
              </w:rPr>
              <w:t xml:space="preserve">2 Watling Street </w:t>
            </w:r>
            <w:r>
              <w:rPr>
                <w:szCs w:val="18"/>
              </w:rPr>
              <w:br/>
            </w:r>
            <w:r>
              <w:rPr>
                <w:sz w:val="18"/>
                <w:szCs w:val="18"/>
              </w:rPr>
              <w:t xml:space="preserve">Bexleyheath </w:t>
            </w:r>
            <w:r>
              <w:rPr>
                <w:szCs w:val="18"/>
              </w:rPr>
              <w:br/>
            </w:r>
            <w:r>
              <w:rPr>
                <w:sz w:val="18"/>
                <w:szCs w:val="18"/>
              </w:rPr>
              <w:t xml:space="preserve">Kent </w:t>
            </w:r>
            <w:r>
              <w:rPr>
                <w:szCs w:val="18"/>
              </w:rPr>
              <w:br/>
            </w:r>
            <w:r>
              <w:rPr>
                <w:sz w:val="18"/>
                <w:szCs w:val="18"/>
              </w:rPr>
              <w:t>DA6 7AT‏</w:t>
            </w:r>
          </w:p>
          <w:p w:rsidR="005F3C4D" w:rsidRDefault="005F3C4D" w:rsidP="00DA53B4">
            <w:r>
              <w:t> </w:t>
            </w:r>
          </w:p>
          <w:p w:rsidR="005F3C4D" w:rsidRDefault="00BF696C" w:rsidP="00DA53B4">
            <w:hyperlink r:id="rId6" w:history="1">
              <w:r w:rsidR="005F3C4D">
                <w:rPr>
                  <w:color w:val="0000FF"/>
                  <w:sz w:val="18"/>
                  <w:szCs w:val="18"/>
                  <w:u w:val="single"/>
                </w:rPr>
                <w:t>www.bexley.gov.uk</w:t>
              </w:r>
            </w:hyperlink>
          </w:p>
        </w:tc>
        <w:tc>
          <w:tcPr>
            <w:tcW w:w="5250" w:type="dxa"/>
            <w:vAlign w:val="center"/>
          </w:tcPr>
          <w:p w:rsidR="005F3C4D" w:rsidRDefault="005F3C4D" w:rsidP="00DA53B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00325" cy="781050"/>
                  <wp:effectExtent l="0" t="0" r="9525" b="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 </w:t>
            </w:r>
          </w:p>
        </w:tc>
      </w:tr>
    </w:tbl>
    <w:p w:rsidR="005F3C4D" w:rsidRDefault="005F3C4D" w:rsidP="005F3C4D">
      <w:pPr>
        <w:rPr>
          <w:vanish/>
        </w:rPr>
      </w:pPr>
    </w:p>
    <w:tbl>
      <w:tblPr>
        <w:tblW w:w="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176"/>
        <w:gridCol w:w="1373"/>
        <w:gridCol w:w="2153"/>
      </w:tblGrid>
      <w:tr w:rsidR="005F3C4D" w:rsidTr="00DA53B4">
        <w:tc>
          <w:tcPr>
            <w:tcW w:w="480" w:type="dxa"/>
            <w:vAlign w:val="center"/>
          </w:tcPr>
          <w:p w:rsidR="005F3C4D" w:rsidRDefault="005F3C4D" w:rsidP="00DA53B4">
            <w:r>
              <w:rPr>
                <w:i/>
                <w:iCs/>
                <w:sz w:val="18"/>
                <w:szCs w:val="18"/>
              </w:rPr>
              <w:t>m/r</w:t>
            </w:r>
          </w:p>
        </w:tc>
        <w:tc>
          <w:tcPr>
            <w:tcW w:w="3525" w:type="dxa"/>
            <w:vAlign w:val="center"/>
          </w:tcPr>
          <w:p w:rsidR="005F3C4D" w:rsidRDefault="005F3C4D" w:rsidP="00DA53B4">
            <w:r>
              <w:rPr>
                <w:sz w:val="18"/>
                <w:szCs w:val="18"/>
              </w:rPr>
              <w:t>5453197</w:t>
            </w:r>
          </w:p>
        </w:tc>
        <w:tc>
          <w:tcPr>
            <w:tcW w:w="1500" w:type="dxa"/>
            <w:vAlign w:val="center"/>
          </w:tcPr>
          <w:p w:rsidR="005F3C4D" w:rsidRDefault="005F3C4D" w:rsidP="00DA53B4">
            <w:r>
              <w:rPr>
                <w:i/>
                <w:iCs/>
                <w:sz w:val="18"/>
                <w:szCs w:val="18"/>
              </w:rPr>
              <w:t>Direct Dial</w:t>
            </w:r>
          </w:p>
        </w:tc>
        <w:tc>
          <w:tcPr>
            <w:tcW w:w="2400" w:type="dxa"/>
            <w:vAlign w:val="center"/>
          </w:tcPr>
          <w:p w:rsidR="005F3C4D" w:rsidRDefault="005F3C4D" w:rsidP="00DA53B4">
            <w:r>
              <w:rPr>
                <w:sz w:val="18"/>
                <w:szCs w:val="18"/>
              </w:rPr>
              <w:t>‎0203 045 3923‏</w:t>
            </w:r>
          </w:p>
        </w:tc>
      </w:tr>
      <w:tr w:rsidR="005F3C4D" w:rsidTr="00DA53B4">
        <w:tc>
          <w:tcPr>
            <w:tcW w:w="0" w:type="auto"/>
            <w:vAlign w:val="center"/>
          </w:tcPr>
          <w:p w:rsidR="005F3C4D" w:rsidRDefault="005F3C4D" w:rsidP="00DA53B4">
            <w:r>
              <w:rPr>
                <w:i/>
                <w:iCs/>
                <w:sz w:val="18"/>
                <w:szCs w:val="18"/>
              </w:rPr>
              <w:t>y/r</w:t>
            </w:r>
          </w:p>
        </w:tc>
        <w:tc>
          <w:tcPr>
            <w:tcW w:w="0" w:type="auto"/>
            <w:vAlign w:val="center"/>
          </w:tcPr>
          <w:p w:rsidR="005F3C4D" w:rsidRDefault="005F3C4D" w:rsidP="00DA53B4">
            <w:r>
              <w:t> </w:t>
            </w:r>
          </w:p>
        </w:tc>
        <w:tc>
          <w:tcPr>
            <w:tcW w:w="0" w:type="auto"/>
            <w:vAlign w:val="center"/>
          </w:tcPr>
          <w:p w:rsidR="005F3C4D" w:rsidRDefault="005F3C4D" w:rsidP="00DA53B4">
            <w:r>
              <w:rPr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0" w:type="auto"/>
            <w:vAlign w:val="center"/>
          </w:tcPr>
          <w:p w:rsidR="005F3C4D" w:rsidRDefault="005F3C4D" w:rsidP="00DA53B4">
            <w:r>
              <w:rPr>
                <w:sz w:val="18"/>
                <w:szCs w:val="18"/>
              </w:rPr>
              <w:t>27 June 2018</w:t>
            </w:r>
          </w:p>
        </w:tc>
      </w:tr>
    </w:tbl>
    <w:p w:rsidR="005F3C4D" w:rsidRDefault="005F3C4D" w:rsidP="005F3C4D">
      <w:pPr>
        <w:rPr>
          <w:vanish/>
        </w:rPr>
      </w:pPr>
    </w:p>
    <w:tbl>
      <w:tblPr>
        <w:tblW w:w="7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565"/>
      </w:tblGrid>
      <w:tr w:rsidR="005F3C4D" w:rsidTr="00DA53B4">
        <w:tc>
          <w:tcPr>
            <w:tcW w:w="0" w:type="auto"/>
            <w:gridSpan w:val="2"/>
            <w:vAlign w:val="center"/>
          </w:tcPr>
          <w:p w:rsidR="005F3C4D" w:rsidRDefault="005F3C4D" w:rsidP="00DA53B4">
            <w:r>
              <w:rPr>
                <w:sz w:val="18"/>
                <w:szCs w:val="18"/>
              </w:rPr>
              <w:t>‎annmarie.carroll@bexley.gov.uk‏</w:t>
            </w:r>
          </w:p>
        </w:tc>
      </w:tr>
      <w:tr w:rsidR="005F3C4D" w:rsidTr="00DA53B4">
        <w:tc>
          <w:tcPr>
            <w:tcW w:w="5175" w:type="dxa"/>
            <w:vAlign w:val="center"/>
          </w:tcPr>
          <w:p w:rsidR="005F3C4D" w:rsidRDefault="005F3C4D" w:rsidP="00DA53B4">
            <w:r>
              <w:rPr>
                <w:i/>
                <w:iCs/>
                <w:sz w:val="18"/>
                <w:szCs w:val="18"/>
              </w:rPr>
              <w:t>The person dealing with this matter is:</w:t>
            </w:r>
          </w:p>
        </w:tc>
        <w:tc>
          <w:tcPr>
            <w:tcW w:w="5175" w:type="dxa"/>
            <w:vAlign w:val="center"/>
          </w:tcPr>
          <w:p w:rsidR="005F3C4D" w:rsidRDefault="005F3C4D" w:rsidP="00DA53B4">
            <w:r>
              <w:rPr>
                <w:sz w:val="18"/>
                <w:szCs w:val="18"/>
              </w:rPr>
              <w:t>‎Annmarie Carroll‏</w:t>
            </w:r>
          </w:p>
        </w:tc>
      </w:tr>
    </w:tbl>
    <w:p w:rsidR="005F3C4D" w:rsidRDefault="005F3C4D" w:rsidP="005F3C4D">
      <w:pPr>
        <w:spacing w:after="280" w:afterAutospacing="1"/>
      </w:pPr>
      <w:r>
        <w:br/>
      </w:r>
      <w:r>
        <w:br/>
        <w:t xml:space="preserve">‎Alex Parsons‏ </w:t>
      </w:r>
      <w:r>
        <w:br/>
        <w:t>‎</w:t>
      </w:r>
    </w:p>
    <w:p w:rsidR="005F3C4D" w:rsidRDefault="005F3C4D" w:rsidP="005F3C4D">
      <w: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Dear ‎</w:t>
      </w:r>
      <w:r w:rsidR="00397C8D">
        <w:rPr>
          <w:sz w:val="22"/>
          <w:szCs w:val="22"/>
        </w:rPr>
        <w:t>Mr Parsons,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Thank you for your request for information received on 27 June 2018. I can confirm that </w:t>
      </w:r>
      <w:r w:rsidR="00397C8D">
        <w:rPr>
          <w:sz w:val="22"/>
          <w:szCs w:val="22"/>
        </w:rPr>
        <w:t>the London Borough of Bexley holds some of the information requested, which I have set out below</w:t>
      </w:r>
      <w:r w:rsidRPr="00976880">
        <w:rPr>
          <w:sz w:val="22"/>
          <w:szCs w:val="22"/>
        </w:rPr>
        <w:t>.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br/>
        <w:t xml:space="preserve">1. How many people are employed to deal with FOI? </w:t>
      </w:r>
    </w:p>
    <w:p w:rsidR="005F3C4D" w:rsidRPr="00976880" w:rsidRDefault="005F3C4D" w:rsidP="005F3C4D">
      <w:pPr>
        <w:rPr>
          <w:sz w:val="22"/>
          <w:szCs w:val="22"/>
        </w:rPr>
      </w:pPr>
    </w:p>
    <w:p w:rsidR="00EA3FC1" w:rsidRDefault="005F3C4D" w:rsidP="005F3C4D">
      <w:pPr>
        <w:rPr>
          <w:b/>
          <w:sz w:val="22"/>
          <w:szCs w:val="22"/>
        </w:rPr>
      </w:pPr>
      <w:r w:rsidRPr="00976880">
        <w:rPr>
          <w:b/>
          <w:sz w:val="22"/>
          <w:szCs w:val="22"/>
        </w:rPr>
        <w:t>It is not possible to provide an acc</w:t>
      </w:r>
      <w:r>
        <w:rPr>
          <w:b/>
          <w:sz w:val="22"/>
          <w:szCs w:val="22"/>
        </w:rPr>
        <w:t xml:space="preserve">urate response to this question. </w:t>
      </w:r>
      <w:r w:rsidR="00EA3FC1" w:rsidRPr="00976880">
        <w:rPr>
          <w:b/>
          <w:sz w:val="22"/>
          <w:szCs w:val="22"/>
        </w:rPr>
        <w:t xml:space="preserve">The Complaints and FOI team </w:t>
      </w:r>
      <w:r w:rsidR="00EA3FC1">
        <w:rPr>
          <w:b/>
          <w:sz w:val="22"/>
          <w:szCs w:val="22"/>
        </w:rPr>
        <w:t>log and monitor</w:t>
      </w:r>
      <w:r w:rsidR="00EA3FC1" w:rsidRPr="00976880">
        <w:rPr>
          <w:b/>
          <w:sz w:val="22"/>
          <w:szCs w:val="22"/>
        </w:rPr>
        <w:t xml:space="preserve"> FOI requests</w:t>
      </w:r>
      <w:r w:rsidRPr="00976880">
        <w:rPr>
          <w:b/>
          <w:sz w:val="22"/>
          <w:szCs w:val="22"/>
        </w:rPr>
        <w:t xml:space="preserve"> but </w:t>
      </w:r>
      <w:r w:rsidR="0037482B">
        <w:rPr>
          <w:b/>
          <w:sz w:val="22"/>
          <w:szCs w:val="22"/>
        </w:rPr>
        <w:t xml:space="preserve">various officers within our </w:t>
      </w:r>
      <w:r w:rsidR="00EA3FC1">
        <w:rPr>
          <w:b/>
          <w:sz w:val="22"/>
          <w:szCs w:val="22"/>
        </w:rPr>
        <w:t>service areas provide</w:t>
      </w:r>
      <w:r w:rsidRPr="00976880">
        <w:rPr>
          <w:b/>
          <w:sz w:val="22"/>
          <w:szCs w:val="22"/>
        </w:rPr>
        <w:t xml:space="preserve"> </w:t>
      </w:r>
      <w:r w:rsidR="00EA3FC1">
        <w:rPr>
          <w:b/>
          <w:sz w:val="22"/>
          <w:szCs w:val="22"/>
        </w:rPr>
        <w:t xml:space="preserve">the response to the requestor. </w:t>
      </w:r>
      <w:r>
        <w:rPr>
          <w:b/>
          <w:sz w:val="22"/>
          <w:szCs w:val="22"/>
        </w:rPr>
        <w:t xml:space="preserve"> </w:t>
      </w:r>
    </w:p>
    <w:p w:rsidR="00EA3FC1" w:rsidRDefault="00EA3FC1" w:rsidP="005F3C4D">
      <w:pPr>
        <w:rPr>
          <w:b/>
          <w:sz w:val="22"/>
          <w:szCs w:val="22"/>
        </w:rPr>
      </w:pPr>
    </w:p>
    <w:p w:rsidR="005F3C4D" w:rsidRPr="00976880" w:rsidRDefault="005F3C4D" w:rsidP="005F3C4D">
      <w:pPr>
        <w:rPr>
          <w:b/>
          <w:sz w:val="22"/>
          <w:szCs w:val="22"/>
        </w:rPr>
      </w:pPr>
      <w:r w:rsidRPr="00DE02C0">
        <w:rPr>
          <w:b/>
          <w:sz w:val="22"/>
          <w:szCs w:val="22"/>
        </w:rPr>
        <w:t xml:space="preserve">The </w:t>
      </w:r>
      <w:r w:rsidRPr="00976880">
        <w:rPr>
          <w:b/>
          <w:sz w:val="22"/>
          <w:szCs w:val="22"/>
        </w:rPr>
        <w:t xml:space="preserve">Complaints and FOI </w:t>
      </w:r>
      <w:r w:rsidR="00397C8D">
        <w:rPr>
          <w:b/>
          <w:sz w:val="22"/>
          <w:szCs w:val="22"/>
        </w:rPr>
        <w:t xml:space="preserve">team </w:t>
      </w:r>
      <w:r w:rsidR="00EA3FC1">
        <w:rPr>
          <w:b/>
          <w:sz w:val="22"/>
          <w:szCs w:val="22"/>
        </w:rPr>
        <w:t xml:space="preserve">also </w:t>
      </w:r>
      <w:r>
        <w:rPr>
          <w:b/>
          <w:sz w:val="22"/>
          <w:szCs w:val="22"/>
        </w:rPr>
        <w:t>have numerous other duties including logging,</w:t>
      </w:r>
      <w:r w:rsidRPr="00DE02C0">
        <w:rPr>
          <w:b/>
          <w:sz w:val="22"/>
          <w:szCs w:val="22"/>
        </w:rPr>
        <w:t xml:space="preserve"> record</w:t>
      </w:r>
      <w:r>
        <w:rPr>
          <w:b/>
          <w:sz w:val="22"/>
          <w:szCs w:val="22"/>
        </w:rPr>
        <w:t xml:space="preserve">ing and monitoring </w:t>
      </w:r>
      <w:r w:rsidRPr="00DE02C0">
        <w:rPr>
          <w:b/>
          <w:sz w:val="22"/>
          <w:szCs w:val="22"/>
        </w:rPr>
        <w:t xml:space="preserve">corporate </w:t>
      </w:r>
      <w:r>
        <w:rPr>
          <w:b/>
          <w:sz w:val="22"/>
          <w:szCs w:val="22"/>
        </w:rPr>
        <w:t>and statutory complaints</w:t>
      </w:r>
      <w:r w:rsidRPr="00DE02C0">
        <w:rPr>
          <w:b/>
          <w:sz w:val="22"/>
          <w:szCs w:val="22"/>
        </w:rPr>
        <w:t>.</w:t>
      </w:r>
      <w:r w:rsidR="00397C8D">
        <w:rPr>
          <w:b/>
          <w:sz w:val="22"/>
          <w:szCs w:val="22"/>
        </w:rPr>
        <w:t xml:space="preserve"> </w:t>
      </w:r>
      <w:r w:rsidR="00EA3FC1">
        <w:rPr>
          <w:b/>
          <w:sz w:val="22"/>
          <w:szCs w:val="22"/>
        </w:rPr>
        <w:t>The</w:t>
      </w:r>
      <w:r w:rsidR="00397C8D">
        <w:rPr>
          <w:b/>
          <w:sz w:val="22"/>
          <w:szCs w:val="22"/>
        </w:rPr>
        <w:t xml:space="preserve"> team consists of </w:t>
      </w:r>
      <w:r w:rsidRPr="00976880">
        <w:rPr>
          <w:b/>
          <w:sz w:val="22"/>
          <w:szCs w:val="22"/>
        </w:rPr>
        <w:t>three Complaints and FOI Officers and one Head of Service.</w:t>
      </w:r>
    </w:p>
    <w:p w:rsidR="005F3C4D" w:rsidRDefault="005F3C4D" w:rsidP="005F3C4D">
      <w:pPr>
        <w:rPr>
          <w:b/>
          <w:sz w:val="22"/>
          <w:szCs w:val="22"/>
        </w:rPr>
      </w:pPr>
      <w:r w:rsidRPr="00976880">
        <w:rPr>
          <w:sz w:val="22"/>
          <w:szCs w:val="22"/>
        </w:rPr>
        <w:br/>
        <w:t xml:space="preserve">2. What is the budget for administering FOI? </w:t>
      </w:r>
      <w:r>
        <w:rPr>
          <w:sz w:val="22"/>
          <w:szCs w:val="22"/>
        </w:rPr>
        <w:t xml:space="preserve"> </w:t>
      </w:r>
    </w:p>
    <w:p w:rsidR="005F3C4D" w:rsidRDefault="005F3C4D" w:rsidP="005F3C4D">
      <w:pPr>
        <w:rPr>
          <w:b/>
          <w:sz w:val="22"/>
          <w:szCs w:val="22"/>
        </w:rPr>
      </w:pPr>
    </w:p>
    <w:p w:rsidR="005F3C4D" w:rsidRPr="00DE02C0" w:rsidRDefault="00BF696C" w:rsidP="005F3C4D">
      <w:pPr>
        <w:rPr>
          <w:b/>
          <w:sz w:val="22"/>
          <w:szCs w:val="22"/>
        </w:rPr>
      </w:pPr>
      <w:r>
        <w:rPr>
          <w:b/>
          <w:sz w:val="22"/>
          <w:szCs w:val="22"/>
        </w:rPr>
        <w:t>We cannot</w:t>
      </w:r>
      <w:r w:rsidR="005F3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provide an accurat</w:t>
      </w:r>
      <w:r w:rsidR="00397C8D">
        <w:rPr>
          <w:b/>
          <w:sz w:val="22"/>
          <w:szCs w:val="22"/>
        </w:rPr>
        <w:t xml:space="preserve">e </w:t>
      </w:r>
      <w:r w:rsidR="00EA3FC1">
        <w:rPr>
          <w:b/>
          <w:sz w:val="22"/>
          <w:szCs w:val="22"/>
        </w:rPr>
        <w:t xml:space="preserve">figure because as well as handling FOI requests, the </w:t>
      </w:r>
      <w:r>
        <w:rPr>
          <w:b/>
          <w:sz w:val="22"/>
          <w:szCs w:val="22"/>
        </w:rPr>
        <w:t>Complaints and FOI team perform</w:t>
      </w:r>
      <w:r w:rsidR="00EA3FC1">
        <w:rPr>
          <w:b/>
          <w:sz w:val="22"/>
          <w:szCs w:val="22"/>
        </w:rPr>
        <w:t xml:space="preserve"> many other functions as explained above. </w:t>
      </w:r>
      <w:r w:rsidR="005F3C4D" w:rsidRPr="00DE02C0">
        <w:rPr>
          <w:b/>
          <w:sz w:val="22"/>
          <w:szCs w:val="22"/>
        </w:rPr>
        <w:t>However, the</w:t>
      </w:r>
      <w:r w:rsidR="005F3C4D" w:rsidRPr="00976880">
        <w:rPr>
          <w:b/>
          <w:sz w:val="22"/>
          <w:szCs w:val="22"/>
        </w:rPr>
        <w:t xml:space="preserve"> </w:t>
      </w:r>
      <w:r w:rsidR="005F3C4D">
        <w:rPr>
          <w:b/>
          <w:sz w:val="22"/>
          <w:szCs w:val="22"/>
        </w:rPr>
        <w:t xml:space="preserve">cost of the </w:t>
      </w:r>
      <w:r w:rsidR="005F3C4D" w:rsidRPr="00976880">
        <w:rPr>
          <w:b/>
          <w:sz w:val="22"/>
          <w:szCs w:val="22"/>
        </w:rPr>
        <w:t xml:space="preserve">Complaints and FOI </w:t>
      </w:r>
      <w:r w:rsidR="00397C8D">
        <w:rPr>
          <w:b/>
          <w:sz w:val="22"/>
          <w:szCs w:val="22"/>
        </w:rPr>
        <w:t>team</w:t>
      </w:r>
      <w:r w:rsidR="00397C8D" w:rsidRPr="00DE02C0">
        <w:rPr>
          <w:b/>
          <w:sz w:val="22"/>
          <w:szCs w:val="22"/>
        </w:rPr>
        <w:t xml:space="preserve"> </w:t>
      </w:r>
      <w:r w:rsidR="005F3C4D" w:rsidRPr="00DE02C0">
        <w:rPr>
          <w:b/>
          <w:sz w:val="22"/>
          <w:szCs w:val="22"/>
        </w:rPr>
        <w:t>to t</w:t>
      </w:r>
      <w:r w:rsidR="005F3C4D">
        <w:rPr>
          <w:b/>
          <w:sz w:val="22"/>
          <w:szCs w:val="22"/>
        </w:rPr>
        <w:t xml:space="preserve">he council is £205,000 per year. This figure </w:t>
      </w:r>
      <w:r w:rsidR="005F3C4D" w:rsidRPr="00DE02C0">
        <w:rPr>
          <w:b/>
          <w:sz w:val="22"/>
          <w:szCs w:val="22"/>
        </w:rPr>
        <w:t xml:space="preserve">includes pension contributions, training and hardware expensive. </w:t>
      </w:r>
      <w:r w:rsidR="005F3C4D">
        <w:rPr>
          <w:b/>
          <w:sz w:val="22"/>
          <w:szCs w:val="22"/>
        </w:rPr>
        <w:t xml:space="preserve"> </w:t>
      </w:r>
      <w:r w:rsidR="00EA3FC1">
        <w:rPr>
          <w:b/>
          <w:sz w:val="22"/>
          <w:szCs w:val="22"/>
        </w:rPr>
        <w:t>It</w:t>
      </w:r>
      <w:r w:rsidR="005F3C4D">
        <w:rPr>
          <w:b/>
          <w:sz w:val="22"/>
          <w:szCs w:val="22"/>
        </w:rPr>
        <w:t xml:space="preserve"> does not</w:t>
      </w:r>
      <w:r w:rsidR="005F3C4D" w:rsidRPr="00DE02C0">
        <w:rPr>
          <w:b/>
          <w:sz w:val="22"/>
          <w:szCs w:val="22"/>
        </w:rPr>
        <w:t xml:space="preserve"> include fixed cost</w:t>
      </w:r>
      <w:r w:rsidR="005F3C4D">
        <w:rPr>
          <w:b/>
          <w:sz w:val="22"/>
          <w:szCs w:val="22"/>
        </w:rPr>
        <w:t xml:space="preserve">s </w:t>
      </w:r>
      <w:r w:rsidR="005F3C4D" w:rsidRPr="00DE02C0">
        <w:rPr>
          <w:b/>
          <w:sz w:val="22"/>
          <w:szCs w:val="22"/>
        </w:rPr>
        <w:t xml:space="preserve">such as the running and maintenance of our Civil Offices where </w:t>
      </w:r>
      <w:r w:rsidR="0037482B">
        <w:rPr>
          <w:b/>
          <w:sz w:val="22"/>
          <w:szCs w:val="22"/>
        </w:rPr>
        <w:t>the team and many of</w:t>
      </w:r>
      <w:r w:rsidR="005F3C4D" w:rsidRPr="00DE02C0">
        <w:rPr>
          <w:b/>
          <w:sz w:val="22"/>
          <w:szCs w:val="22"/>
        </w:rPr>
        <w:t xml:space="preserve"> </w:t>
      </w:r>
      <w:r w:rsidR="0037482B">
        <w:rPr>
          <w:b/>
          <w:sz w:val="22"/>
          <w:szCs w:val="22"/>
        </w:rPr>
        <w:t>our</w:t>
      </w:r>
      <w:r w:rsidR="005F3C4D">
        <w:rPr>
          <w:b/>
          <w:sz w:val="22"/>
          <w:szCs w:val="22"/>
        </w:rPr>
        <w:t xml:space="preserve"> service areas </w:t>
      </w:r>
      <w:r w:rsidR="005F3C4D" w:rsidRPr="00DE02C0">
        <w:rPr>
          <w:b/>
          <w:sz w:val="22"/>
          <w:szCs w:val="22"/>
        </w:rPr>
        <w:t xml:space="preserve">operate. </w:t>
      </w:r>
    </w:p>
    <w:p w:rsidR="005F3C4D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br/>
        <w:t xml:space="preserve">3. Do you use case management software for FOI? If so, which one? </w:t>
      </w:r>
    </w:p>
    <w:p w:rsidR="005F3C4D" w:rsidRDefault="005F3C4D" w:rsidP="005F3C4D">
      <w:pPr>
        <w:rPr>
          <w:sz w:val="22"/>
          <w:szCs w:val="22"/>
        </w:rPr>
      </w:pPr>
    </w:p>
    <w:p w:rsidR="005F3C4D" w:rsidRPr="00976880" w:rsidRDefault="00EA3FC1" w:rsidP="005F3C4D">
      <w:pPr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5F3C4D" w:rsidRPr="00976880">
        <w:rPr>
          <w:b/>
          <w:sz w:val="22"/>
          <w:szCs w:val="22"/>
        </w:rPr>
        <w:t>e use iCasework</w:t>
      </w:r>
      <w:r>
        <w:rPr>
          <w:b/>
          <w:sz w:val="22"/>
          <w:szCs w:val="22"/>
        </w:rPr>
        <w:t xml:space="preserve"> to manage our FOI requests.</w:t>
      </w:r>
    </w:p>
    <w:p w:rsidR="005F3C4D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br/>
        <w:t xml:space="preserve">4. Do you publish a disclosure log? </w:t>
      </w:r>
    </w:p>
    <w:p w:rsidR="005F3C4D" w:rsidRDefault="005F3C4D" w:rsidP="005F3C4D">
      <w:pPr>
        <w:rPr>
          <w:sz w:val="22"/>
          <w:szCs w:val="22"/>
        </w:rPr>
      </w:pPr>
    </w:p>
    <w:p w:rsidR="005F3C4D" w:rsidRPr="00976880" w:rsidRDefault="00EA3FC1" w:rsidP="005F3C4D">
      <w:pPr>
        <w:rPr>
          <w:sz w:val="22"/>
          <w:szCs w:val="22"/>
        </w:rPr>
      </w:pPr>
      <w:r>
        <w:rPr>
          <w:b/>
          <w:sz w:val="22"/>
          <w:szCs w:val="22"/>
        </w:rPr>
        <w:t>Y</w:t>
      </w:r>
      <w:r w:rsidR="005F3C4D">
        <w:rPr>
          <w:b/>
          <w:sz w:val="22"/>
          <w:szCs w:val="22"/>
        </w:rPr>
        <w:t>ou can view our disclosure log</w:t>
      </w:r>
      <w:r w:rsidR="005F3C4D" w:rsidRPr="00976880">
        <w:rPr>
          <w:b/>
          <w:sz w:val="22"/>
          <w:szCs w:val="22"/>
        </w:rPr>
        <w:t xml:space="preserve"> at the following link: </w:t>
      </w:r>
      <w:bookmarkStart w:id="0" w:name="_GoBack"/>
      <w:bookmarkEnd w:id="0"/>
      <w:r w:rsidR="00BF696C">
        <w:fldChar w:fldCharType="begin"/>
      </w:r>
      <w:r w:rsidR="00BF696C">
        <w:instrText xml:space="preserve"> HYPERLINK "https://www.bexley.gov.uk/bexleys-disclosure-log" </w:instrText>
      </w:r>
      <w:r w:rsidR="00BF696C">
        <w:fldChar w:fldCharType="separate"/>
      </w:r>
      <w:r w:rsidR="005F3C4D" w:rsidRPr="00976880">
        <w:rPr>
          <w:rStyle w:val="Hyperlink"/>
          <w:b/>
          <w:sz w:val="22"/>
          <w:szCs w:val="22"/>
        </w:rPr>
        <w:t>https://www.bexley.gov.uk/bexleys-disclosure-log</w:t>
      </w:r>
      <w:r w:rsidR="00BF696C">
        <w:rPr>
          <w:rStyle w:val="Hyperlink"/>
          <w:b/>
          <w:sz w:val="22"/>
          <w:szCs w:val="22"/>
        </w:rPr>
        <w:fldChar w:fldCharType="end"/>
      </w:r>
      <w:r w:rsidR="005F3C4D" w:rsidRPr="00976880">
        <w:rPr>
          <w:b/>
          <w:sz w:val="22"/>
          <w:szCs w:val="22"/>
        </w:rPr>
        <w:t xml:space="preserve"> 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lastRenderedPageBreak/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If you have any questions, please contact me using the details above. If you are unhappy with the way your request for information has been handled, you can request a review by writing to: </w:t>
      </w:r>
      <w:r w:rsidRPr="00976880">
        <w:rPr>
          <w:sz w:val="22"/>
          <w:szCs w:val="22"/>
        </w:rPr>
        <w:br/>
      </w:r>
    </w:p>
    <w:p w:rsidR="005F3C4D" w:rsidRPr="00976880" w:rsidRDefault="005F3C4D" w:rsidP="005F3C4D">
      <w:pPr>
        <w:ind w:left="750"/>
        <w:rPr>
          <w:sz w:val="22"/>
          <w:szCs w:val="22"/>
        </w:rPr>
      </w:pPr>
      <w:r w:rsidRPr="00976880">
        <w:rPr>
          <w:sz w:val="22"/>
          <w:szCs w:val="22"/>
        </w:rPr>
        <w:t xml:space="preserve">Complaint and Freedom of Information Officer </w:t>
      </w:r>
      <w:r w:rsidRPr="00976880">
        <w:rPr>
          <w:sz w:val="22"/>
          <w:szCs w:val="22"/>
        </w:rPr>
        <w:br/>
        <w:t xml:space="preserve">London Borough of Bexley </w:t>
      </w:r>
      <w:r w:rsidRPr="00976880">
        <w:rPr>
          <w:sz w:val="22"/>
          <w:szCs w:val="22"/>
        </w:rPr>
        <w:br/>
        <w:t xml:space="preserve">Civic Offices </w:t>
      </w:r>
      <w:r w:rsidRPr="00976880">
        <w:rPr>
          <w:sz w:val="22"/>
          <w:szCs w:val="22"/>
        </w:rPr>
        <w:br/>
        <w:t>2 Watling Street</w:t>
      </w:r>
    </w:p>
    <w:p w:rsidR="005F3C4D" w:rsidRPr="00976880" w:rsidRDefault="005F3C4D" w:rsidP="005F3C4D">
      <w:pPr>
        <w:ind w:left="750"/>
        <w:rPr>
          <w:sz w:val="22"/>
          <w:szCs w:val="22"/>
        </w:rPr>
      </w:pPr>
      <w:r w:rsidRPr="00976880">
        <w:rPr>
          <w:sz w:val="22"/>
          <w:szCs w:val="22"/>
        </w:rPr>
        <w:t xml:space="preserve">Bexleyheath </w:t>
      </w:r>
      <w:r w:rsidRPr="00976880">
        <w:rPr>
          <w:sz w:val="22"/>
          <w:szCs w:val="22"/>
        </w:rPr>
        <w:br/>
        <w:t xml:space="preserve">Kent </w:t>
      </w:r>
      <w:r w:rsidRPr="00976880">
        <w:rPr>
          <w:sz w:val="22"/>
          <w:szCs w:val="22"/>
        </w:rPr>
        <w:br/>
        <w:t>DA6 7AT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Or by email to </w:t>
      </w:r>
      <w:hyperlink r:id="rId8" w:tgtFrame="_blank" w:history="1">
        <w:r w:rsidRPr="00976880">
          <w:rPr>
            <w:color w:val="0000FF"/>
            <w:sz w:val="22"/>
            <w:szCs w:val="22"/>
            <w:u w:val="single"/>
          </w:rPr>
          <w:t>foi@bexley.gov.uk</w:t>
        </w:r>
      </w:hyperlink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‎ 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Yours </w:t>
      </w:r>
      <w:r w:rsidR="00EA3FC1">
        <w:rPr>
          <w:sz w:val="22"/>
          <w:szCs w:val="22"/>
        </w:rPr>
        <w:t>sincerely,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> 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‎ </w:t>
      </w:r>
      <w:r>
        <w:rPr>
          <w:noProof/>
          <w:sz w:val="22"/>
          <w:szCs w:val="22"/>
        </w:rPr>
        <w:drawing>
          <wp:inline distT="0" distB="0" distL="0" distR="0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80">
        <w:rPr>
          <w:sz w:val="22"/>
          <w:szCs w:val="22"/>
        </w:rPr>
        <w:t>‏</w:t>
      </w:r>
    </w:p>
    <w:p w:rsidR="005F3C4D" w:rsidRPr="00976880" w:rsidRDefault="005F3C4D" w:rsidP="005F3C4D">
      <w:pPr>
        <w:rPr>
          <w:sz w:val="22"/>
          <w:szCs w:val="22"/>
        </w:rPr>
      </w:pPr>
      <w:r w:rsidRPr="00976880">
        <w:rPr>
          <w:sz w:val="22"/>
          <w:szCs w:val="22"/>
        </w:rPr>
        <w:t xml:space="preserve">‎Annmarie Carroll‏ </w:t>
      </w:r>
      <w:r w:rsidRPr="00976880">
        <w:rPr>
          <w:sz w:val="22"/>
          <w:szCs w:val="22"/>
        </w:rPr>
        <w:br/>
        <w:t xml:space="preserve">‎Complaints and FOI Officer‏ </w:t>
      </w:r>
      <w:r w:rsidRPr="00976880">
        <w:rPr>
          <w:sz w:val="22"/>
          <w:szCs w:val="22"/>
        </w:rPr>
        <w:br/>
        <w:t>‎Complaints and FOI Service‏</w:t>
      </w:r>
    </w:p>
    <w:p w:rsidR="005F3C4D" w:rsidRPr="00976880" w:rsidRDefault="005F3C4D" w:rsidP="005F3C4D">
      <w:pPr>
        <w:spacing w:after="280" w:afterAutospacing="1"/>
        <w:rPr>
          <w:sz w:val="22"/>
          <w:szCs w:val="22"/>
        </w:rPr>
      </w:pPr>
      <w:r w:rsidRPr="00976880">
        <w:rPr>
          <w:sz w:val="22"/>
          <w:szCs w:val="22"/>
        </w:rPr>
        <w:t>‏</w:t>
      </w:r>
    </w:p>
    <w:p w:rsidR="00194FEA" w:rsidRDefault="00194FEA"/>
    <w:sectPr w:rsidR="00194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D"/>
    <w:rsid w:val="00194FEA"/>
    <w:rsid w:val="0037482B"/>
    <w:rsid w:val="00397C8D"/>
    <w:rsid w:val="005F3C4D"/>
    <w:rsid w:val="006234FD"/>
    <w:rsid w:val="00BF696C"/>
    <w:rsid w:val="00D47CEE"/>
    <w:rsid w:val="00DA722A"/>
    <w:rsid w:val="00E44534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D"/>
    <w:rPr>
      <w:rFonts w:eastAsia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Hyperlink">
    <w:name w:val="Hyperlink"/>
    <w:rsid w:val="005F3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D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D"/>
    <w:rPr>
      <w:rFonts w:eastAsia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Hyperlink">
    <w:name w:val="Hyperlink"/>
    <w:rsid w:val="005F3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D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bexley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xley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8182-570B-441D-BC90-4B653C78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89E1E60E.dotm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Annmarie</dc:creator>
  <cp:lastModifiedBy>Carroll, Annmarie</cp:lastModifiedBy>
  <cp:revision>2</cp:revision>
  <dcterms:created xsi:type="dcterms:W3CDTF">2018-07-23T12:53:00Z</dcterms:created>
  <dcterms:modified xsi:type="dcterms:W3CDTF">2018-07-23T12:53:00Z</dcterms:modified>
</cp:coreProperties>
</file>